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8435AF"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8435AF">
        <w:rPr>
          <w:rStyle w:val="normaltextrun"/>
          <w:rFonts w:asciiTheme="minorHAnsi" w:hAnsiTheme="minorHAnsi" w:cstheme="minorHAnsi"/>
          <w:b/>
          <w:bCs/>
          <w:sz w:val="22"/>
          <w:szCs w:val="22"/>
        </w:rPr>
        <w:t>Undergraduate Teaching Continuity and Recovery</w:t>
      </w:r>
      <w:r w:rsidRPr="008435AF">
        <w:rPr>
          <w:rStyle w:val="eop"/>
          <w:rFonts w:asciiTheme="minorHAnsi" w:hAnsiTheme="minorHAnsi" w:cstheme="minorHAnsi"/>
          <w:sz w:val="22"/>
          <w:szCs w:val="22"/>
        </w:rPr>
        <w:t> </w:t>
      </w:r>
    </w:p>
    <w:p w14:paraId="0591CAB4" w14:textId="530A257A" w:rsidR="0090641B"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8435AF">
        <w:rPr>
          <w:rStyle w:val="normaltextrun"/>
          <w:rFonts w:asciiTheme="minorHAnsi" w:hAnsiTheme="minorHAnsi" w:cstheme="minorHAnsi"/>
          <w:sz w:val="22"/>
          <w:szCs w:val="22"/>
        </w:rPr>
        <w:t>Meeting on </w:t>
      </w:r>
      <w:r w:rsidR="00C44E06" w:rsidRPr="008435AF">
        <w:rPr>
          <w:rStyle w:val="normaltextrun"/>
          <w:rFonts w:asciiTheme="minorHAnsi" w:hAnsiTheme="minorHAnsi" w:cstheme="minorHAnsi"/>
          <w:sz w:val="22"/>
          <w:szCs w:val="22"/>
        </w:rPr>
        <w:t>September</w:t>
      </w:r>
      <w:r w:rsidR="00A45B8C" w:rsidRPr="008435AF">
        <w:rPr>
          <w:rStyle w:val="normaltextrun"/>
          <w:rFonts w:asciiTheme="minorHAnsi" w:hAnsiTheme="minorHAnsi" w:cstheme="minorHAnsi"/>
          <w:sz w:val="22"/>
          <w:szCs w:val="22"/>
        </w:rPr>
        <w:t xml:space="preserve"> </w:t>
      </w:r>
      <w:r w:rsidR="008435AF">
        <w:rPr>
          <w:rStyle w:val="normaltextrun"/>
          <w:rFonts w:asciiTheme="minorHAnsi" w:hAnsiTheme="minorHAnsi" w:cstheme="minorHAnsi"/>
          <w:sz w:val="22"/>
          <w:szCs w:val="22"/>
        </w:rPr>
        <w:t>16</w:t>
      </w:r>
      <w:r w:rsidR="00C44E06" w:rsidRPr="008435AF">
        <w:rPr>
          <w:rStyle w:val="normaltextrun"/>
          <w:rFonts w:asciiTheme="minorHAnsi" w:hAnsiTheme="minorHAnsi" w:cstheme="minorHAnsi"/>
          <w:sz w:val="22"/>
          <w:szCs w:val="22"/>
        </w:rPr>
        <w:t xml:space="preserve"> </w:t>
      </w:r>
      <w:r w:rsidRPr="008435AF">
        <w:rPr>
          <w:rStyle w:val="normaltextrun"/>
          <w:rFonts w:asciiTheme="minorHAnsi" w:hAnsiTheme="minorHAnsi" w:cstheme="minorHAnsi"/>
          <w:sz w:val="22"/>
          <w:szCs w:val="22"/>
        </w:rPr>
        <w:t>@ </w:t>
      </w:r>
      <w:r w:rsidR="002F1FCA" w:rsidRPr="008435AF">
        <w:rPr>
          <w:rStyle w:val="normaltextrun"/>
          <w:rFonts w:asciiTheme="minorHAnsi" w:hAnsiTheme="minorHAnsi" w:cstheme="minorHAnsi"/>
          <w:sz w:val="22"/>
          <w:szCs w:val="22"/>
        </w:rPr>
        <w:t>10</w:t>
      </w:r>
      <w:r w:rsidR="007A2ED8" w:rsidRPr="008435AF">
        <w:rPr>
          <w:rStyle w:val="normaltextrun"/>
          <w:rFonts w:asciiTheme="minorHAnsi" w:hAnsiTheme="minorHAnsi" w:cstheme="minorHAnsi"/>
          <w:sz w:val="22"/>
          <w:szCs w:val="22"/>
        </w:rPr>
        <w:t>:00</w:t>
      </w:r>
      <w:r w:rsidR="002F1FCA" w:rsidRPr="008435AF">
        <w:rPr>
          <w:rStyle w:val="normaltextrun"/>
          <w:rFonts w:asciiTheme="minorHAnsi" w:hAnsiTheme="minorHAnsi" w:cstheme="minorHAnsi"/>
          <w:sz w:val="22"/>
          <w:szCs w:val="22"/>
        </w:rPr>
        <w:t>A</w:t>
      </w:r>
      <w:r w:rsidRPr="008435AF">
        <w:rPr>
          <w:rStyle w:val="normaltextrun"/>
          <w:rFonts w:asciiTheme="minorHAnsi" w:hAnsiTheme="minorHAnsi" w:cstheme="minorHAnsi"/>
          <w:sz w:val="22"/>
          <w:szCs w:val="22"/>
        </w:rPr>
        <w:t>M</w:t>
      </w:r>
    </w:p>
    <w:p w14:paraId="13820C23" w14:textId="77777777" w:rsidR="008435AF" w:rsidRPr="008435AF" w:rsidRDefault="008435AF"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1658F9BB" w14:textId="77777777" w:rsidR="008435AF" w:rsidRPr="008435AF" w:rsidRDefault="008435AF" w:rsidP="008435AF">
      <w:pPr>
        <w:shd w:val="clear" w:color="auto" w:fill="FFFFFF"/>
        <w:spacing w:after="150"/>
        <w:rPr>
          <w:rFonts w:eastAsia="Times New Roman" w:cstheme="minorHAnsi"/>
          <w:color w:val="252423"/>
        </w:rPr>
      </w:pPr>
      <w:r w:rsidRPr="008435AF">
        <w:rPr>
          <w:rFonts w:eastAsia="Times New Roman" w:cstheme="minorHAnsi"/>
          <w:b/>
          <w:bCs/>
          <w:color w:val="252423"/>
          <w:u w:val="single"/>
        </w:rPr>
        <w:t>Agenda Items for 9/16</w:t>
      </w:r>
    </w:p>
    <w:p w14:paraId="6E712F15" w14:textId="77777777" w:rsidR="008435AF" w:rsidRPr="008435AF" w:rsidRDefault="008435AF" w:rsidP="008435AF">
      <w:pPr>
        <w:numPr>
          <w:ilvl w:val="0"/>
          <w:numId w:val="17"/>
        </w:numPr>
        <w:shd w:val="clear" w:color="auto" w:fill="FFFFFF"/>
        <w:spacing w:before="100" w:beforeAutospacing="1" w:after="100" w:afterAutospacing="1"/>
        <w:rPr>
          <w:rFonts w:eastAsia="Times New Roman" w:cstheme="minorHAnsi"/>
          <w:color w:val="252423"/>
        </w:rPr>
      </w:pPr>
      <w:r w:rsidRPr="008435AF">
        <w:rPr>
          <w:rFonts w:eastAsia="Times New Roman" w:cstheme="minorHAnsi"/>
          <w:color w:val="252423"/>
        </w:rPr>
        <w:t>Status of TWA Applications</w:t>
      </w:r>
    </w:p>
    <w:p w14:paraId="072822A8" w14:textId="77777777" w:rsidR="008435AF" w:rsidRPr="008435AF" w:rsidRDefault="008435AF" w:rsidP="008435AF">
      <w:pPr>
        <w:numPr>
          <w:ilvl w:val="0"/>
          <w:numId w:val="17"/>
        </w:numPr>
        <w:shd w:val="clear" w:color="auto" w:fill="FFFFFF"/>
        <w:spacing w:before="100" w:beforeAutospacing="1" w:after="100" w:afterAutospacing="1"/>
        <w:rPr>
          <w:rFonts w:eastAsia="Times New Roman" w:cstheme="minorHAnsi"/>
          <w:color w:val="252423"/>
        </w:rPr>
      </w:pPr>
      <w:r w:rsidRPr="008435AF">
        <w:rPr>
          <w:rFonts w:eastAsia="Times New Roman" w:cstheme="minorHAnsi"/>
          <w:color w:val="252423"/>
        </w:rPr>
        <w:t>Update from Room Scheduling</w:t>
      </w:r>
    </w:p>
    <w:p w14:paraId="29C63B68" w14:textId="77777777" w:rsidR="008435AF" w:rsidRPr="008435AF" w:rsidRDefault="008435AF" w:rsidP="008435AF">
      <w:pPr>
        <w:numPr>
          <w:ilvl w:val="0"/>
          <w:numId w:val="17"/>
        </w:numPr>
        <w:shd w:val="clear" w:color="auto" w:fill="FFFFFF"/>
        <w:spacing w:before="100" w:beforeAutospacing="1" w:after="100" w:afterAutospacing="1"/>
        <w:rPr>
          <w:rFonts w:eastAsia="Times New Roman" w:cstheme="minorHAnsi"/>
          <w:color w:val="252423"/>
        </w:rPr>
      </w:pPr>
      <w:r w:rsidRPr="008435AF">
        <w:rPr>
          <w:rFonts w:eastAsia="Times New Roman" w:cstheme="minorHAnsi"/>
          <w:color w:val="252423"/>
        </w:rPr>
        <w:t>Update on Faculty Council EC Response to the Prioritization/Phases Document</w:t>
      </w:r>
    </w:p>
    <w:p w14:paraId="34E1DD59"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b/>
          <w:bCs/>
          <w:color w:val="252423"/>
        </w:rPr>
        <w:t>Update on TWA Process</w:t>
      </w:r>
      <w:r w:rsidRPr="008435AF">
        <w:rPr>
          <w:rFonts w:eastAsia="Times New Roman" w:cstheme="minorHAnsi"/>
          <w:color w:val="252423"/>
        </w:rPr>
        <w:t> - Jan Nerger noted a concern about the communication sent to faculty about the TWA process. The communication was different from prior discussions. The soft deadline that had been sent was September 23 rather than September 18.</w:t>
      </w:r>
    </w:p>
    <w:p w14:paraId="57F56DA2"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7D7BB292"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Jan Nerger and Sue Doe had requested a statement be included that faculty would need to re-negotiate with the Chairs as previous non-TWA arrangements would not be extended. HR did not include this statement in the view that it was unneeded.</w:t>
      </w:r>
    </w:p>
    <w:p w14:paraId="0D7E7943"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7FEBA4F" w14:textId="4F30A8D4"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xml:space="preserve">Have any been TWAs been submitted? Is </w:t>
      </w:r>
      <w:r w:rsidR="007A671E" w:rsidRPr="008435AF">
        <w:rPr>
          <w:rFonts w:eastAsia="Times New Roman" w:cstheme="minorHAnsi"/>
          <w:color w:val="252423"/>
        </w:rPr>
        <w:t>there</w:t>
      </w:r>
      <w:r w:rsidRPr="008435AF">
        <w:rPr>
          <w:rFonts w:eastAsia="Times New Roman" w:cstheme="minorHAnsi"/>
          <w:color w:val="252423"/>
        </w:rPr>
        <w:t xml:space="preserve"> a distinction between past arrangements and past TWAs? </w:t>
      </w:r>
    </w:p>
    <w:p w14:paraId="123E40AB"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79439D09" w14:textId="4D9ACA1E"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xml:space="preserve">Kelly Long noted it would help dispel later commentary that would suggest the process was inequitable. It would be concerning </w:t>
      </w:r>
      <w:r w:rsidR="007A671E">
        <w:rPr>
          <w:rFonts w:eastAsia="Times New Roman" w:cstheme="minorHAnsi"/>
          <w:color w:val="252423"/>
        </w:rPr>
        <w:t>that</w:t>
      </w:r>
      <w:r w:rsidRPr="008435AF">
        <w:rPr>
          <w:rFonts w:eastAsia="Times New Roman" w:cstheme="minorHAnsi"/>
          <w:color w:val="252423"/>
        </w:rPr>
        <w:t xml:space="preserve"> the process was inequitably addressed.</w:t>
      </w:r>
    </w:p>
    <w:p w14:paraId="31EC55F6"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52AA833A"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b/>
          <w:bCs/>
          <w:color w:val="252423"/>
        </w:rPr>
        <w:t>Update on Room Scheduling</w:t>
      </w:r>
      <w:r w:rsidRPr="008435AF">
        <w:rPr>
          <w:rFonts w:eastAsia="Times New Roman" w:cstheme="minorHAnsi"/>
          <w:color w:val="252423"/>
        </w:rPr>
        <w:t> - What would be the response about requests for larger spaces? We want to create template language from RO that schedule requests need to be directed to Department Chairs.</w:t>
      </w:r>
    </w:p>
    <w:p w14:paraId="72791F22"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2BAC5E1A"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RO wants to avoid spreadsheets for Spring 2021. RO wants to use the CPI for collecting and managing information. CPI closes on September 25.</w:t>
      </w:r>
    </w:p>
    <w:p w14:paraId="0EA2E3F0"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1A0F3586"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D Tobiassen Baitinger noted that 11 departments have submitted all of their changes. She noted that there would be back and forth between Julia Murphy's Team and departments over the following seven weeks.</w:t>
      </w:r>
    </w:p>
    <w:p w14:paraId="54850628"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0E4A1A61"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D Tobiassen Baitinger noted there would be an issue with the lack of classroom spaces. RO would check on other options (different class times, etc.) with departments. RO would discuss the next approach with the Team about prioritization.</w:t>
      </w:r>
    </w:p>
    <w:p w14:paraId="4BE2B9A7"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53F92145"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D Tobiassen Baitinger noted that access to the LSC Ballrooms would be required to replicate Fall 2020. We would need to inform Mike Ellis about the request. (</w:t>
      </w:r>
      <w:r w:rsidRPr="008435AF">
        <w:rPr>
          <w:rFonts w:eastAsia="Times New Roman" w:cstheme="minorHAnsi"/>
          <w:b/>
          <w:bCs/>
          <w:color w:val="252423"/>
        </w:rPr>
        <w:t>Note</w:t>
      </w:r>
      <w:r w:rsidRPr="008435AF">
        <w:rPr>
          <w:rFonts w:eastAsia="Times New Roman" w:cstheme="minorHAnsi"/>
          <w:color w:val="252423"/>
        </w:rPr>
        <w:t>: Mike Ellis had approved the request).</w:t>
      </w:r>
    </w:p>
    <w:p w14:paraId="177E3999"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60745AC7"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How would a department indicate a hybrid section? RO recommends creating additional sections for courses where students would be rotated (A and B model).</w:t>
      </w:r>
    </w:p>
    <w:p w14:paraId="6ACB66F9"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183A40C4"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RO had communicated about the A/B model to departments. Departments are submitting the instructional format for courses into CPI. Julia Murphy and her Team would work on room scheduling. Some departments do indicate classroom space requests in the CPI.</w:t>
      </w:r>
    </w:p>
    <w:p w14:paraId="0DD35EAC"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00E39A32"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lastRenderedPageBreak/>
        <w:t>D Tobiassen Baitinger noted that it would be extremely helpful to know if the 6-foot social distancing capacity would remain.</w:t>
      </w:r>
    </w:p>
    <w:p w14:paraId="369F1BFF"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1101E972"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b/>
          <w:bCs/>
          <w:color w:val="252423"/>
        </w:rPr>
        <w:t>Update on Spring 2021 Planning</w:t>
      </w:r>
      <w:r w:rsidRPr="008435AF">
        <w:rPr>
          <w:rFonts w:eastAsia="Times New Roman" w:cstheme="minorHAnsi"/>
          <w:color w:val="252423"/>
        </w:rPr>
        <w:t> - We had been asked to reducing our percentage for Spring 2021; however, there has been a change.</w:t>
      </w:r>
    </w:p>
    <w:p w14:paraId="11657742"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7C9CE555"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We are going to aim for the same targets for Spring 2021 as in Fall 2020. The aim for F2F components should be as much as possible. Is it aggregate by sections or by colleges, departments, etc.? We would have to be careful in how we think about it. We would use the same metrics from Fall 2020 for Spring 2021.</w:t>
      </w:r>
    </w:p>
    <w:p w14:paraId="2A16DD39"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A31AA8C"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Further communication would convey that F2F components would replicate Fall 2020.</w:t>
      </w:r>
    </w:p>
    <w:p w14:paraId="6E68AAB4"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069A02B"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b/>
          <w:bCs/>
          <w:color w:val="252423"/>
        </w:rPr>
        <w:t>Update on FYAE</w:t>
      </w:r>
      <w:r w:rsidRPr="008435AF">
        <w:rPr>
          <w:rFonts w:eastAsia="Times New Roman" w:cstheme="minorHAnsi"/>
          <w:color w:val="252423"/>
        </w:rPr>
        <w:t> - Kelly Long noted that AUCC first-year student facing efforts would be extended all-day. We would vary from Fall 2020 in that course pairings would not be restricted to the 4:00-8:00 timeblock. It is hoped that this would facilitate a better response from the students and advising community.</w:t>
      </w:r>
    </w:p>
    <w:p w14:paraId="2F32774D"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3E178B1B"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Kelly Long had a conversation with Ryan Barone and Gaye DiGregorio who had the assumption that the IU172 sections would be scaled back. It was their intention to offer only three sections. Additional IU172 sections would be requested. Kelly Long requested new curriculum for this course.</w:t>
      </w:r>
    </w:p>
    <w:p w14:paraId="28406540"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97904F1"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Ben Withers asked if bullet points could be sent.</w:t>
      </w:r>
    </w:p>
    <w:p w14:paraId="42BF7056"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5456477"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b/>
          <w:bCs/>
          <w:color w:val="252423"/>
        </w:rPr>
        <w:t>Update on Common Exams</w:t>
      </w:r>
      <w:r w:rsidRPr="008435AF">
        <w:rPr>
          <w:rFonts w:eastAsia="Times New Roman" w:cstheme="minorHAnsi"/>
          <w:color w:val="252423"/>
        </w:rPr>
        <w:t> - Kelly Long noted exam structures should be reconsidered. Common Exam times are complicated whether in-person or online. Common Exams block out enrollment availability for students. We need greater flexibility for our students. Common Exam times should not be complicating for our first-year efforts.</w:t>
      </w:r>
    </w:p>
    <w:p w14:paraId="122BFF2D"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3CE921F0"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In-person common exams would be complicating as it restricts time periods for students as well as restricts available classroom spaces. We would need a policy/approach for in-person common exams. Another option would be to explore common exams on Saturday.</w:t>
      </w:r>
    </w:p>
    <w:p w14:paraId="56C7BDB1"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7C51068"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b/>
          <w:bCs/>
          <w:color w:val="252423"/>
        </w:rPr>
        <w:t>Update on Budget </w:t>
      </w:r>
      <w:r w:rsidRPr="008435AF">
        <w:rPr>
          <w:rFonts w:eastAsia="Times New Roman" w:cstheme="minorHAnsi"/>
          <w:color w:val="252423"/>
        </w:rPr>
        <w:t>- We have approximately $500K+ for Spring 2021. Kelly Long expressed with the Pandemic Team that for Spring 2021 we would need a similar amount to Fall 2020.</w:t>
      </w:r>
    </w:p>
    <w:p w14:paraId="6E134F34"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75D26D88"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Within the Pandemic Team, it was noted that funds would need to be found to replicate Fall 2020. Lynn Johnson was in Pandemic Team meeting and noted that the funds would need to be found.</w:t>
      </w:r>
    </w:p>
    <w:p w14:paraId="24C0ED20"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18559BB3"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b/>
          <w:bCs/>
          <w:color w:val="252423"/>
        </w:rPr>
        <w:t>Update from IT</w:t>
      </w:r>
      <w:r w:rsidRPr="008435AF">
        <w:rPr>
          <w:rFonts w:eastAsia="Times New Roman" w:cstheme="minorHAnsi"/>
          <w:color w:val="252423"/>
        </w:rPr>
        <w:t> - Brandon Bernier noted he and his Team are conducting in-person classroom observations. We wanted to verify that the classroom strategies were working in the method envisioned.</w:t>
      </w:r>
    </w:p>
    <w:p w14:paraId="2742E8E9"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CEE060A"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Brandon Bernier noted that the Phase 1 classroom technology is working well. There are an additional 25 GA Classrooms that are in the process of being constructed. The classrooms are prioritized as supplies are received.</w:t>
      </w:r>
    </w:p>
    <w:p w14:paraId="626A8DD7"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2CD053A3"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In seeing how faculty use the technology, he does not know if expanding to 45 GA Classrooms would be needed. He noted that faculty are utilizing personal capture, Zoom/Teams, etc. Brandon Bernier and Kelly Long had discussed moving forward with the current 25 Classrooms then work with Julia Murphy to prioritize a small fraction of the 45 GA Classrooms.</w:t>
      </w:r>
    </w:p>
    <w:p w14:paraId="4F256895"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692A0A32"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There would be a financial challenge with construction and license costs. It not about the construction costs. We have unlimited streaming with Echo 360; however, it would end next year. Variable costs would increase as our footprint expands. As we expand the environment, we would need to expand the support staff for technology and equipment.</w:t>
      </w:r>
    </w:p>
    <w:p w14:paraId="0CD619DA"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0CAA7313" w14:textId="72BFED55"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xml:space="preserve">Brandon Bernier noted the potential for CSU as we move forward in the future, </w:t>
      </w:r>
      <w:r w:rsidR="007A671E" w:rsidRPr="008435AF">
        <w:rPr>
          <w:rFonts w:eastAsia="Times New Roman" w:cstheme="minorHAnsi"/>
          <w:color w:val="252423"/>
        </w:rPr>
        <w:t>if</w:t>
      </w:r>
      <w:r w:rsidRPr="008435AF">
        <w:rPr>
          <w:rFonts w:eastAsia="Times New Roman" w:cstheme="minorHAnsi"/>
          <w:color w:val="252423"/>
        </w:rPr>
        <w:t xml:space="preserve"> pedagogy and training are aligned. What would be the long-term strategy around technology and pedagogy? </w:t>
      </w:r>
    </w:p>
    <w:p w14:paraId="020D6032"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56300BCB" w14:textId="62C2D9B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xml:space="preserve">Per the Team, we should not move forward with the 45 GA Classrooms. Ben Withers noted a need for quantitative data. Brandon Bernier could frame a one-page decision document outlining the options with the next week or two. What are the quantitative </w:t>
      </w:r>
      <w:r w:rsidR="007A671E" w:rsidRPr="008435AF">
        <w:rPr>
          <w:rFonts w:eastAsia="Times New Roman" w:cstheme="minorHAnsi"/>
          <w:color w:val="252423"/>
        </w:rPr>
        <w:t>measures that include</w:t>
      </w:r>
      <w:r w:rsidRPr="008435AF">
        <w:rPr>
          <w:rFonts w:eastAsia="Times New Roman" w:cstheme="minorHAnsi"/>
          <w:color w:val="252423"/>
        </w:rPr>
        <w:t xml:space="preserve"> forecasting? It would give an indication of how to move forward.</w:t>
      </w:r>
    </w:p>
    <w:p w14:paraId="0C415C58"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2804E2C" w14:textId="68273DB6" w:rsidR="008435AF" w:rsidRPr="008435AF" w:rsidRDefault="008435AF" w:rsidP="008435AF">
      <w:pPr>
        <w:shd w:val="clear" w:color="auto" w:fill="FFFFFF"/>
        <w:rPr>
          <w:rFonts w:eastAsia="Times New Roman" w:cstheme="minorHAnsi"/>
          <w:color w:val="252423"/>
        </w:rPr>
      </w:pPr>
      <w:r w:rsidRPr="008435AF">
        <w:rPr>
          <w:rFonts w:eastAsia="Times New Roman" w:cstheme="minorHAnsi"/>
          <w:b/>
          <w:bCs/>
          <w:color w:val="252423"/>
        </w:rPr>
        <w:t>Update from TILT </w:t>
      </w:r>
      <w:r w:rsidRPr="008435AF">
        <w:rPr>
          <w:rFonts w:eastAsia="Times New Roman" w:cstheme="minorHAnsi"/>
          <w:color w:val="252423"/>
        </w:rPr>
        <w:t>- Gwen Gorzelsky had invited faculty to a suite of professional development opportunities. There are 90-minute workshops that would be offered to faculty this week and next week. TILT is also offering a number of the three-week workshops from this past semester (two sections of Student Motivation and two section of Teaching Online).</w:t>
      </w:r>
    </w:p>
    <w:p w14:paraId="4F43BC49"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749B0F3D"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All of the professional development opportunities emphasize how to engage students in any course modality. TILT has curated a handout with a set of resources for that purpose. Resources help faculty see how to build community, set classroom norms, and engage students.</w:t>
      </w:r>
    </w:p>
    <w:p w14:paraId="7BA48560"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719DBB91"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How do prepare faculty and draw on faculty experience with respect to teaching in the new circumstances? TILT is working on a plan about inviting the MTI Coordinators to share this type of material as well.</w:t>
      </w:r>
    </w:p>
    <w:p w14:paraId="4B31A814"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B09F197"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In addition, Tom Dunn had circulated a document about pre-COVID practices that we would not want reinstated. Gwen Gorzelsky and Roze Hentschell would meet with Tom Dunn about this topic. This topic was also discussed in the CoTL meeting. CoTL wants to be part of the conversation to learn what practices are working well for faculty and what practices should be replaced.</w:t>
      </w:r>
    </w:p>
    <w:p w14:paraId="5785FE07"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A6F3A05"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Kelly Long mentioned the "Provost Academy." How do we make it count for professional development? Faculty have noted a concern about their research agendas. How can we maximize the potential that COVID helped our faculty move into 21st century pedagogy? How can we actually reward faculty in annual evaluations and the tenure process? We would have to a mechanism. </w:t>
      </w:r>
    </w:p>
    <w:p w14:paraId="2811A5BD"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81007EB"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Gwen Gorzelsky noted that she has an updated draft of the "Provost Academy" proposal. She has talked intermittently with the Adult Education and Training faculty. They are interested in showing the alignment between their courses, especially for GTAs, that may be interested in taking the deeper dive. They are working with TILT to show how the learning outcomes and objectives align with TILT's offerings. In addition, they are discussing this topic with the Graduate School for potential collaborations. Gwen Gorzelsky that they are close to a draft proposal.</w:t>
      </w:r>
    </w:p>
    <w:p w14:paraId="2A0CAE6B"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38C15DD"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b/>
          <w:bCs/>
          <w:color w:val="252423"/>
        </w:rPr>
        <w:t>Update on Prioritization Document</w:t>
      </w:r>
      <w:r w:rsidRPr="008435AF">
        <w:rPr>
          <w:rFonts w:eastAsia="Times New Roman" w:cstheme="minorHAnsi"/>
          <w:color w:val="252423"/>
        </w:rPr>
        <w:t> - We are creating recommendations and not policy.</w:t>
      </w:r>
    </w:p>
    <w:p w14:paraId="702F94B3"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6C6899ED"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Kelly Long noted that Jody Donovan had submitted comments from CoTL. She had forwarded those comments to Provost Pedersen. </w:t>
      </w:r>
    </w:p>
    <w:p w14:paraId="03E5FF87"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29889D36"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Sue Doe noted that the prioritization document was well-received at the Faculty Council Executive Committee. Ben Withers had explained the document to the members. The members thought the document was great even with probing of the members. It appeared that the member were not particularly concerned about the recommendations provided.</w:t>
      </w:r>
    </w:p>
    <w:p w14:paraId="7903D8CF"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23A1863F"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Ben With</w:t>
      </w:r>
      <w:bookmarkStart w:id="0" w:name="_GoBack"/>
      <w:bookmarkEnd w:id="0"/>
      <w:r w:rsidRPr="008435AF">
        <w:rPr>
          <w:rFonts w:eastAsia="Times New Roman" w:cstheme="minorHAnsi"/>
          <w:color w:val="252423"/>
        </w:rPr>
        <w:t>ers noted that there is still some uncertainty about the ability of individual faculty or departments to make decisions.</w:t>
      </w:r>
    </w:p>
    <w:p w14:paraId="06A7DAE8"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7085BCB6" w14:textId="32B2A146"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Sue Doe noted that faculty still have a catch-</w:t>
      </w:r>
      <w:r w:rsidR="007A671E" w:rsidRPr="008435AF">
        <w:rPr>
          <w:rFonts w:eastAsia="Times New Roman" w:cstheme="minorHAnsi"/>
          <w:color w:val="252423"/>
        </w:rPr>
        <w:t>up,</w:t>
      </w:r>
      <w:r w:rsidRPr="008435AF">
        <w:rPr>
          <w:rFonts w:eastAsia="Times New Roman" w:cstheme="minorHAnsi"/>
          <w:color w:val="252423"/>
        </w:rPr>
        <w:t xml:space="preserve"> as they are not involved in all of the conversations. What does this mean for me? What does this mean for my colleague? Faculty might not be thinking of it as a broad issue at the moment. Faculty have to catch-up with the broader implications. </w:t>
      </w:r>
    </w:p>
    <w:p w14:paraId="55A5886E"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A6FB69B"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Faculty might want to have an arrangement rather than an accommodation. What is the role of the local level in making decisions? How does this connect with plans for spring? There could be lack of understanding. There could be tension.</w:t>
      </w:r>
    </w:p>
    <w:p w14:paraId="3ABD3F8F" w14:textId="77777777" w:rsidR="008435AF"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w:t>
      </w:r>
    </w:p>
    <w:p w14:paraId="4C02CDCE" w14:textId="55A5DA26" w:rsidR="00392DD0" w:rsidRPr="008435AF" w:rsidRDefault="008435AF" w:rsidP="008435AF">
      <w:pPr>
        <w:shd w:val="clear" w:color="auto" w:fill="FFFFFF"/>
        <w:rPr>
          <w:rFonts w:eastAsia="Times New Roman" w:cstheme="minorHAnsi"/>
          <w:color w:val="252423"/>
        </w:rPr>
      </w:pPr>
      <w:r w:rsidRPr="008435AF">
        <w:rPr>
          <w:rFonts w:eastAsia="Times New Roman" w:cstheme="minorHAnsi"/>
          <w:color w:val="252423"/>
        </w:rPr>
        <w:t xml:space="preserve">Kelly Long is hopeful that individuals feel they have been involved in the process. It is our effort to begin the communication and think more clearly on </w:t>
      </w:r>
      <w:r w:rsidR="007A671E" w:rsidRPr="008435AF">
        <w:rPr>
          <w:rFonts w:eastAsia="Times New Roman" w:cstheme="minorHAnsi"/>
          <w:color w:val="252423"/>
        </w:rPr>
        <w:t>whom</w:t>
      </w:r>
      <w:r w:rsidRPr="008435AF">
        <w:rPr>
          <w:rFonts w:eastAsia="Times New Roman" w:cstheme="minorHAnsi"/>
          <w:color w:val="252423"/>
        </w:rPr>
        <w:t xml:space="preserve"> to involve. It is important that we have a mechanism to dispel rumors about inequitably assigning individual categories of employment to do the hard work on campus.</w:t>
      </w:r>
    </w:p>
    <w:sectPr w:rsidR="00392DD0" w:rsidRPr="008435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0"/>
  </w:num>
  <w:num w:numId="3">
    <w:abstractNumId w:val="3"/>
  </w:num>
  <w:num w:numId="4">
    <w:abstractNumId w:val="9"/>
  </w:num>
  <w:num w:numId="5">
    <w:abstractNumId w:val="7"/>
  </w:num>
  <w:num w:numId="6">
    <w:abstractNumId w:val="4"/>
  </w:num>
  <w:num w:numId="7">
    <w:abstractNumId w:val="11"/>
  </w:num>
  <w:num w:numId="8">
    <w:abstractNumId w:val="6"/>
  </w:num>
  <w:num w:numId="9">
    <w:abstractNumId w:val="13"/>
  </w:num>
  <w:num w:numId="10">
    <w:abstractNumId w:val="15"/>
  </w:num>
  <w:num w:numId="11">
    <w:abstractNumId w:val="1"/>
  </w:num>
  <w:num w:numId="12">
    <w:abstractNumId w:val="5"/>
  </w:num>
  <w:num w:numId="13">
    <w:abstractNumId w:val="8"/>
  </w:num>
  <w:num w:numId="14">
    <w:abstractNumId w:val="16"/>
  </w:num>
  <w:num w:numId="15">
    <w:abstractNumId w:val="2"/>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72274"/>
    <w:rsid w:val="0019566F"/>
    <w:rsid w:val="001C6A9E"/>
    <w:rsid w:val="00235993"/>
    <w:rsid w:val="00273718"/>
    <w:rsid w:val="0029462D"/>
    <w:rsid w:val="002F1FCA"/>
    <w:rsid w:val="00342C39"/>
    <w:rsid w:val="00392DD0"/>
    <w:rsid w:val="003A39CC"/>
    <w:rsid w:val="0046766E"/>
    <w:rsid w:val="004B6DF8"/>
    <w:rsid w:val="004C7FDB"/>
    <w:rsid w:val="005618A6"/>
    <w:rsid w:val="0057332E"/>
    <w:rsid w:val="005849A9"/>
    <w:rsid w:val="00592BA7"/>
    <w:rsid w:val="005D753D"/>
    <w:rsid w:val="00627D65"/>
    <w:rsid w:val="006804BA"/>
    <w:rsid w:val="00702600"/>
    <w:rsid w:val="007803A2"/>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86ADF"/>
    <w:rsid w:val="00CF38D5"/>
    <w:rsid w:val="00D048A2"/>
    <w:rsid w:val="00D10C3C"/>
    <w:rsid w:val="00D52B7F"/>
    <w:rsid w:val="00D74DD7"/>
    <w:rsid w:val="00D913C8"/>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purl.org/dc/dcmitype/"/>
    <ds:schemaRef ds:uri="660d0c25-c50e-4059-ad27-725ff3196766"/>
    <ds:schemaRef ds:uri="http://schemas.microsoft.com/office/2006/documentManagement/types"/>
    <ds:schemaRef ds:uri="http://schemas.microsoft.com/office/2006/metadata/properties"/>
    <ds:schemaRef ds:uri="http://purl.org/dc/elements/1.1/"/>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B950FB3C-CC73-4480-9899-EAA6E15E3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1492</Words>
  <Characters>8509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2020-09-22T20:53:00Z</dcterms:created>
  <dcterms:modified xsi:type="dcterms:W3CDTF">2020-09-22T20:57:00Z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